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D" w:rsidRDefault="006725FD" w:rsidP="006725FD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444444"/>
          <w:sz w:val="22"/>
          <w:szCs w:val="22"/>
          <w:lang w:eastAsia="ru-RU"/>
        </w:rPr>
      </w:pPr>
      <w:r>
        <w:rPr>
          <w:rFonts w:eastAsia="Times New Roman"/>
          <w:b/>
          <w:bCs/>
          <w:color w:val="444444"/>
          <w:sz w:val="22"/>
          <w:szCs w:val="22"/>
          <w:lang w:eastAsia="ru-RU"/>
        </w:rPr>
        <w:t>ПАМЯТКА</w:t>
      </w:r>
    </w:p>
    <w:p w:rsidR="00767D88" w:rsidRDefault="000C0633" w:rsidP="006725FD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444444"/>
          <w:sz w:val="22"/>
          <w:szCs w:val="22"/>
          <w:lang w:eastAsia="ru-RU"/>
        </w:rPr>
      </w:pPr>
      <w:r w:rsidRPr="000C0633">
        <w:rPr>
          <w:rFonts w:eastAsia="Times New Roman"/>
          <w:b/>
          <w:bCs/>
          <w:color w:val="444444"/>
          <w:sz w:val="22"/>
          <w:szCs w:val="22"/>
          <w:lang w:eastAsia="ru-RU"/>
        </w:rPr>
        <w:t>Уровневая дифференциация дополнительных</w:t>
      </w:r>
      <w:r w:rsidR="006725FD">
        <w:rPr>
          <w:rFonts w:eastAsia="Times New Roman"/>
          <w:b/>
          <w:bCs/>
          <w:color w:val="444444"/>
          <w:sz w:val="22"/>
          <w:szCs w:val="22"/>
          <w:lang w:eastAsia="ru-RU"/>
        </w:rPr>
        <w:t xml:space="preserve"> общеобразовательных </w:t>
      </w:r>
      <w:r w:rsidRPr="000C0633">
        <w:rPr>
          <w:rFonts w:eastAsia="Times New Roman"/>
          <w:b/>
          <w:bCs/>
          <w:color w:val="444444"/>
          <w:sz w:val="22"/>
          <w:szCs w:val="22"/>
          <w:lang w:eastAsia="ru-RU"/>
        </w:rPr>
        <w:t xml:space="preserve"> </w:t>
      </w:r>
      <w:proofErr w:type="spellStart"/>
      <w:r w:rsidRPr="000C0633">
        <w:rPr>
          <w:rFonts w:eastAsia="Times New Roman"/>
          <w:b/>
          <w:bCs/>
          <w:color w:val="444444"/>
          <w:sz w:val="22"/>
          <w:szCs w:val="22"/>
          <w:lang w:eastAsia="ru-RU"/>
        </w:rPr>
        <w:t>общеразвивающих</w:t>
      </w:r>
      <w:proofErr w:type="spellEnd"/>
      <w:r w:rsidRPr="000C0633">
        <w:rPr>
          <w:rFonts w:eastAsia="Times New Roman"/>
          <w:b/>
          <w:bCs/>
          <w:color w:val="444444"/>
          <w:sz w:val="22"/>
          <w:szCs w:val="22"/>
          <w:lang w:eastAsia="ru-RU"/>
        </w:rPr>
        <w:t xml:space="preserve"> программ</w:t>
      </w:r>
    </w:p>
    <w:p w:rsidR="006725FD" w:rsidRPr="000C0633" w:rsidRDefault="006725FD" w:rsidP="006725FD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444444"/>
          <w:sz w:val="22"/>
          <w:szCs w:val="22"/>
          <w:lang w:eastAsia="ru-RU"/>
        </w:rPr>
      </w:pPr>
    </w:p>
    <w:tbl>
      <w:tblPr>
        <w:tblStyle w:val="a3"/>
        <w:tblW w:w="16126" w:type="dxa"/>
        <w:tblLook w:val="04A0"/>
      </w:tblPr>
      <w:tblGrid>
        <w:gridCol w:w="1922"/>
        <w:gridCol w:w="4050"/>
        <w:gridCol w:w="4530"/>
        <w:gridCol w:w="5624"/>
      </w:tblGrid>
      <w:tr w:rsidR="000C0633" w:rsidRPr="000C0633" w:rsidTr="006725FD">
        <w:trPr>
          <w:trHeight w:val="70"/>
        </w:trPr>
        <w:tc>
          <w:tcPr>
            <w:tcW w:w="1922" w:type="dxa"/>
            <w:hideMark/>
          </w:tcPr>
          <w:p w:rsidR="000C0633" w:rsidRPr="000C0633" w:rsidRDefault="000C0633" w:rsidP="006725FD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50" w:type="dxa"/>
            <w:hideMark/>
          </w:tcPr>
          <w:p w:rsidR="000C0633" w:rsidRPr="000C0633" w:rsidRDefault="000C0633" w:rsidP="006725F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Ознакомительный</w:t>
            </w:r>
            <w:r w:rsidR="006725F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уровень</w:t>
            </w:r>
          </w:p>
        </w:tc>
        <w:tc>
          <w:tcPr>
            <w:tcW w:w="4530" w:type="dxa"/>
            <w:hideMark/>
          </w:tcPr>
          <w:p w:rsidR="000C0633" w:rsidRPr="000C0633" w:rsidRDefault="000C0633" w:rsidP="006725F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Базовый</w:t>
            </w:r>
            <w:r w:rsidR="006725F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уровень</w:t>
            </w:r>
          </w:p>
        </w:tc>
        <w:tc>
          <w:tcPr>
            <w:tcW w:w="5624" w:type="dxa"/>
            <w:hideMark/>
          </w:tcPr>
          <w:p w:rsidR="000C0633" w:rsidRPr="000C0633" w:rsidRDefault="000C0633" w:rsidP="006725F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Углубленный</w:t>
            </w:r>
            <w:r w:rsidR="006725F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уровень</w:t>
            </w:r>
          </w:p>
        </w:tc>
      </w:tr>
      <w:tr w:rsidR="000C0633" w:rsidRPr="000C0633" w:rsidTr="006725FD">
        <w:tc>
          <w:tcPr>
            <w:tcW w:w="1922" w:type="dxa"/>
            <w:hideMark/>
          </w:tcPr>
          <w:p w:rsidR="000C0633" w:rsidRPr="000C0633" w:rsidRDefault="000C0633" w:rsidP="006725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Понятие «уровень»</w:t>
            </w:r>
          </w:p>
        </w:tc>
        <w:tc>
          <w:tcPr>
            <w:tcW w:w="4050" w:type="dxa"/>
            <w:hideMark/>
          </w:tcPr>
          <w:p w:rsidR="000C0633" w:rsidRPr="000C0633" w:rsidRDefault="000C0633" w:rsidP="006725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 xml:space="preserve">Знакомство </w:t>
            </w:r>
            <w:proofErr w:type="gramStart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 xml:space="preserve"> с основами определенного направления творческой деятельности. Формирование готовности обучающихся к образовательной деятельности и последующее выявление потенциальных возможностей и предпочтений при выборе вида деятельности с учетом индивидуальных интересов и способностей</w:t>
            </w:r>
          </w:p>
        </w:tc>
        <w:tc>
          <w:tcPr>
            <w:tcW w:w="4530" w:type="dxa"/>
            <w:hideMark/>
          </w:tcPr>
          <w:p w:rsidR="000C0633" w:rsidRPr="000C0633" w:rsidRDefault="000C0633" w:rsidP="006725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Формирование у обучающихся знаний, умений и навыков в выбранной предметной области, способствующих профессиональной ориентации и успешной адаптации к жизни в обществе</w:t>
            </w:r>
          </w:p>
        </w:tc>
        <w:tc>
          <w:tcPr>
            <w:tcW w:w="5624" w:type="dxa"/>
            <w:hideMark/>
          </w:tcPr>
          <w:p w:rsidR="000C0633" w:rsidRPr="000C0633" w:rsidRDefault="000C0633" w:rsidP="006725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Формирование у обучающихся теоретических знаний и практических навыков.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Раскрытие творческих способностей личности в избранном виде деятельности на уровне высоких показателей образованности в  какой-либо предметной или практической области</w:t>
            </w:r>
          </w:p>
        </w:tc>
      </w:tr>
      <w:tr w:rsidR="000C0633" w:rsidRPr="000C0633" w:rsidTr="006725FD">
        <w:tc>
          <w:tcPr>
            <w:tcW w:w="1922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Цель (назначение)</w:t>
            </w:r>
          </w:p>
        </w:tc>
        <w:tc>
          <w:tcPr>
            <w:tcW w:w="405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Получение учащимися общих представлений о предметной области.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Расширение информированности </w:t>
            </w:r>
            <w:proofErr w:type="gramStart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 xml:space="preserve"> в данной образовательной сфере, формирование интереса к выбору деятельности.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Обогащение навыками общения и приобретение умений совместной деятельности</w:t>
            </w:r>
          </w:p>
        </w:tc>
        <w:tc>
          <w:tcPr>
            <w:tcW w:w="453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Формирование у учащихся интереса, устойчивой мотивации к выбранному виду (направлению) деятельности.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Освоение базовых знаний, умений и навыков по определенному виду деятельности.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Расширение спектра специализированных знаний по смежным дисциплинам для дальнейшего творческого самоопределения, развитие личностных компетенций: ценностно-смысловых, общекультурных, учебно-познавательных, информационных, коммуникативных, социально-трудовых</w:t>
            </w:r>
          </w:p>
        </w:tc>
        <w:tc>
          <w:tcPr>
            <w:tcW w:w="5624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Развитие компетентности учащихся в образовательной области и формирование навыков на уровне практического применения. Формирование устойчивой мотивации к профильному самоопределению, потребности в творческой деятельности и самореализации в рамках выбранного вида деятельности.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Формирование </w:t>
            </w:r>
            <w:proofErr w:type="spellStart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метапредметных</w:t>
            </w:r>
            <w:proofErr w:type="spellEnd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 xml:space="preserve"> компетенций. Формирование компетенций успешной личности: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• ценностно-смысловых (гражданской позиции, значимости собственной культурной среды);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• социально-трудовых (знание маршрута своего профильного развития, умение оценивать труд коллег, бережное отношение к результатам своей и чужой деятельности);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• коммуникативных (умение работать самостоятельно и в команде, умение формулировать и отстаивать собственную точку зрения, умение слышать других и др.)</w:t>
            </w:r>
          </w:p>
        </w:tc>
      </w:tr>
      <w:tr w:rsidR="000C0633" w:rsidRPr="000C0633" w:rsidTr="006725FD">
        <w:tc>
          <w:tcPr>
            <w:tcW w:w="1922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405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Принимаются все желающие, не имеющие противопоказаний по состоянию здоровья</w:t>
            </w:r>
          </w:p>
        </w:tc>
        <w:tc>
          <w:tcPr>
            <w:tcW w:w="453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Принимаются все желающие, не имеющие противопоказаний по состоянию здоровья.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Проводится стартовая диагностика (входной контроль) с целью выяснения уровня готовности ребенка и его индивидуальных особенностей (интересов, первичных умений и навыков, мотивации для занятий и т. п.)</w:t>
            </w:r>
          </w:p>
        </w:tc>
        <w:tc>
          <w:tcPr>
            <w:tcW w:w="5624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Принимаются дети, не имеющие противопоказаний по состоянию здоровья.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Набор проходит на основании результатов итоговой аттестации освоения программ базового уровня (в той же предметной области) или по итогам вступительных испытаний (определение уровня знаний в предметной области, наличия способностей и стремления к творческой или проектно-исследовательской деятельности)</w:t>
            </w:r>
          </w:p>
        </w:tc>
      </w:tr>
      <w:tr w:rsidR="000C0633" w:rsidRPr="000C0633" w:rsidTr="006725FD">
        <w:tc>
          <w:tcPr>
            <w:tcW w:w="1922" w:type="dxa"/>
            <w:hideMark/>
          </w:tcPr>
          <w:p w:rsidR="000C0633" w:rsidRPr="000C0633" w:rsidRDefault="000C0633" w:rsidP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Возраст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уч-ся</w:t>
            </w:r>
          </w:p>
        </w:tc>
        <w:tc>
          <w:tcPr>
            <w:tcW w:w="405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5–18 лет</w:t>
            </w:r>
          </w:p>
        </w:tc>
        <w:tc>
          <w:tcPr>
            <w:tcW w:w="453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8–18 лет</w:t>
            </w:r>
          </w:p>
        </w:tc>
        <w:tc>
          <w:tcPr>
            <w:tcW w:w="5624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12–18 лет</w:t>
            </w:r>
          </w:p>
        </w:tc>
      </w:tr>
      <w:tr w:rsidR="000C0633" w:rsidRPr="000C0633" w:rsidTr="006725FD">
        <w:tc>
          <w:tcPr>
            <w:tcW w:w="1922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Срок освоения программы</w:t>
            </w:r>
          </w:p>
        </w:tc>
        <w:tc>
          <w:tcPr>
            <w:tcW w:w="405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Не менее 3 мес. (как правило, до 1 года)</w:t>
            </w:r>
          </w:p>
        </w:tc>
        <w:tc>
          <w:tcPr>
            <w:tcW w:w="453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Не менее 1 г. (как правило, от 1 до 3 лет)</w:t>
            </w:r>
          </w:p>
        </w:tc>
        <w:tc>
          <w:tcPr>
            <w:tcW w:w="5624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Не менее 2 лет</w:t>
            </w:r>
          </w:p>
        </w:tc>
      </w:tr>
      <w:tr w:rsidR="000C0633" w:rsidRPr="000C0633" w:rsidTr="006725FD">
        <w:tc>
          <w:tcPr>
            <w:tcW w:w="1922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Время обучения (режим занятий)</w:t>
            </w:r>
          </w:p>
        </w:tc>
        <w:tc>
          <w:tcPr>
            <w:tcW w:w="405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1–3 ч в неделю</w:t>
            </w:r>
          </w:p>
        </w:tc>
        <w:tc>
          <w:tcPr>
            <w:tcW w:w="453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3–5 ч в неделю</w:t>
            </w:r>
          </w:p>
        </w:tc>
        <w:tc>
          <w:tcPr>
            <w:tcW w:w="5624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4–8 ч в неделю</w:t>
            </w:r>
          </w:p>
        </w:tc>
      </w:tr>
      <w:tr w:rsidR="000C0633" w:rsidRPr="000C0633" w:rsidTr="006725FD">
        <w:tc>
          <w:tcPr>
            <w:tcW w:w="1922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Результат обучения (в качественном и количественном выражении)</w:t>
            </w:r>
          </w:p>
        </w:tc>
        <w:tc>
          <w:tcPr>
            <w:tcW w:w="405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Освоение программы. «Пробуждение» интереса учащихся и потребности в дальнейшем изучении выбранных предметных областей по программам более высоких уровней.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Переход на базовый уровень не менее 25% </w:t>
            </w:r>
            <w:proofErr w:type="gramStart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обучающихся</w:t>
            </w:r>
            <w:proofErr w:type="gramEnd"/>
          </w:p>
        </w:tc>
        <w:tc>
          <w:tcPr>
            <w:tcW w:w="453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Демонстрация учащимися определенного уровня творческих способностей и одаренности. Участие в общегородских мероприятиях не менее 50% обучающихся.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Включение в число победителей и призеров общегородских мероприятий не менее 10% обучающихся.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Переход на углубленный уровень не менее 25% </w:t>
            </w:r>
            <w:proofErr w:type="gramStart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обучающихся</w:t>
            </w:r>
            <w:proofErr w:type="gramEnd"/>
          </w:p>
        </w:tc>
        <w:tc>
          <w:tcPr>
            <w:tcW w:w="5624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Активное участие в исследовательской, творческо-продуктивной и поисковой деятельности.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spellStart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>Сформированность</w:t>
            </w:r>
            <w:proofErr w:type="spellEnd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 xml:space="preserve"> ориентации на определенную профессию. Продолжение обучения в </w:t>
            </w:r>
            <w:proofErr w:type="gramStart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профильных</w:t>
            </w:r>
            <w:proofErr w:type="gramEnd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 xml:space="preserve"> ОО (уровень среднего профессионального и высшего образования). Участие в общегородских мероприятиях не менее 80% обучающихся. Включение в число победителей и призеров общегородских мероприятий не менее 50% обучающихся</w:t>
            </w:r>
          </w:p>
        </w:tc>
      </w:tr>
      <w:tr w:rsidR="000C0633" w:rsidRPr="000C0633" w:rsidTr="006725FD">
        <w:tc>
          <w:tcPr>
            <w:tcW w:w="1922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Формы проведения занятий</w:t>
            </w:r>
          </w:p>
        </w:tc>
        <w:tc>
          <w:tcPr>
            <w:tcW w:w="405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Групповая форма с ярко выраженным индивидуальным подходом</w:t>
            </w:r>
          </w:p>
        </w:tc>
        <w:tc>
          <w:tcPr>
            <w:tcW w:w="453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Групповая форма с ярко выраженным индивидуальным подходом.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Обучение в малых группах</w:t>
            </w:r>
          </w:p>
        </w:tc>
        <w:tc>
          <w:tcPr>
            <w:tcW w:w="5624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Групповая, индивидуальная</w:t>
            </w:r>
          </w:p>
        </w:tc>
      </w:tr>
      <w:tr w:rsidR="000C0633" w:rsidRPr="000C0633" w:rsidTr="006725FD">
        <w:tc>
          <w:tcPr>
            <w:tcW w:w="1922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Образовательные технологии</w:t>
            </w:r>
          </w:p>
        </w:tc>
        <w:tc>
          <w:tcPr>
            <w:tcW w:w="405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Игровые, личностно-ориентированного обучения, педагогики сотрудничества, диалогового обучения, репродуктивные и др., направленные на формирование у учащихся мотивации к познанию</w:t>
            </w:r>
          </w:p>
        </w:tc>
        <w:tc>
          <w:tcPr>
            <w:tcW w:w="4530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C0633">
              <w:rPr>
                <w:rFonts w:eastAsia="Times New Roman"/>
                <w:sz w:val="22"/>
                <w:szCs w:val="22"/>
                <w:lang w:eastAsia="ru-RU"/>
              </w:rPr>
              <w:t>Технологии проблемного, модульного, диалогового, дифференцированного и индивидуализированного, дистанционного обучения; игровые, репродуктивные, проектно-исследовательские, творческо-продуктивные технологии, направленные на формирование устойчивой мотивации к выбранному виду деятельности и самообразованию.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Используются интерактивные методики (ролевые игры, метод проектов, постановка эксперимента, профильные экскурсии с «погружением» в практику тематической области и др.).</w:t>
            </w:r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Особое внимание уделяется рефлексии</w:t>
            </w:r>
          </w:p>
        </w:tc>
        <w:tc>
          <w:tcPr>
            <w:tcW w:w="5624" w:type="dxa"/>
            <w:hideMark/>
          </w:tcPr>
          <w:p w:rsidR="000C0633" w:rsidRPr="000C0633" w:rsidRDefault="000C0633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0C0633">
              <w:rPr>
                <w:rFonts w:eastAsia="Times New Roman"/>
                <w:sz w:val="22"/>
                <w:szCs w:val="22"/>
                <w:lang w:eastAsia="ru-RU"/>
              </w:rPr>
              <w:t>Проектно-исследовательские, творческо-продуктивные, дифференцированного и индивидуализированного обучения, модульного обучения, учебной дискуссии, проблемного обучения; игровые, репродуктивные, дистанционного обучения и др., направленные на развитие мотивации в выборе профессии, самоопределение и самореализацию.</w:t>
            </w:r>
            <w:proofErr w:type="gramEnd"/>
            <w:r w:rsidRPr="000C0633">
              <w:rPr>
                <w:rFonts w:eastAsia="Times New Roman"/>
                <w:sz w:val="22"/>
                <w:szCs w:val="22"/>
                <w:lang w:eastAsia="ru-RU"/>
              </w:rPr>
              <w:br/>
              <w:t>Особое внимание уделяется рефлексии</w:t>
            </w:r>
          </w:p>
        </w:tc>
      </w:tr>
    </w:tbl>
    <w:p w:rsidR="000C0633" w:rsidRPr="000C0633" w:rsidRDefault="000C0633">
      <w:pPr>
        <w:rPr>
          <w:sz w:val="22"/>
          <w:szCs w:val="22"/>
        </w:rPr>
      </w:pPr>
    </w:p>
    <w:sectPr w:rsidR="000C0633" w:rsidRPr="000C0633" w:rsidSect="000C0633">
      <w:pgSz w:w="16838" w:h="11906" w:orient="landscape"/>
      <w:pgMar w:top="568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C0633"/>
    <w:rsid w:val="000C0633"/>
    <w:rsid w:val="00414AC7"/>
    <w:rsid w:val="004C0BEA"/>
    <w:rsid w:val="006725FD"/>
    <w:rsid w:val="00767D88"/>
    <w:rsid w:val="00841DF7"/>
    <w:rsid w:val="009433A4"/>
    <w:rsid w:val="00AE01BC"/>
    <w:rsid w:val="00C25123"/>
    <w:rsid w:val="00D736EA"/>
    <w:rsid w:val="00D8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2017-03-15T09:10:00Z</cp:lastPrinted>
  <dcterms:created xsi:type="dcterms:W3CDTF">2017-03-15T09:03:00Z</dcterms:created>
  <dcterms:modified xsi:type="dcterms:W3CDTF">2017-10-05T04:51:00Z</dcterms:modified>
</cp:coreProperties>
</file>